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8C81" w14:textId="1B2F5B9F" w:rsidR="008E32DD" w:rsidRDefault="008E32DD" w:rsidP="008E32DD">
      <w:pPr>
        <w:jc w:val="center"/>
        <w:rPr>
          <w:b/>
        </w:rPr>
      </w:pPr>
      <w:r>
        <w:rPr>
          <w:noProof/>
        </w:rPr>
        <w:drawing>
          <wp:inline distT="0" distB="0" distL="0" distR="0" wp14:anchorId="02DA9E09" wp14:editId="638CBCC5">
            <wp:extent cx="1813560" cy="891540"/>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891540"/>
                    </a:xfrm>
                    <a:prstGeom prst="rect">
                      <a:avLst/>
                    </a:prstGeom>
                    <a:noFill/>
                    <a:ln>
                      <a:noFill/>
                    </a:ln>
                  </pic:spPr>
                </pic:pic>
              </a:graphicData>
            </a:graphic>
          </wp:inline>
        </w:drawing>
      </w:r>
    </w:p>
    <w:p w14:paraId="023B74F2" w14:textId="77777777" w:rsidR="005F097B" w:rsidRDefault="005F097B" w:rsidP="008E32DD">
      <w:pPr>
        <w:jc w:val="center"/>
        <w:rPr>
          <w:b/>
        </w:rPr>
      </w:pPr>
    </w:p>
    <w:p w14:paraId="44D353D6" w14:textId="597DFA1B" w:rsidR="00A60236" w:rsidRDefault="00A60236" w:rsidP="00503A81">
      <w:pPr>
        <w:ind w:firstLine="360"/>
        <w:rPr>
          <w:b/>
          <w:sz w:val="32"/>
          <w:szCs w:val="32"/>
        </w:rPr>
      </w:pPr>
      <w:r>
        <w:rPr>
          <w:b/>
          <w:sz w:val="32"/>
          <w:szCs w:val="32"/>
        </w:rPr>
        <w:t>Reserves Policy</w:t>
      </w:r>
    </w:p>
    <w:p w14:paraId="6FAE3659" w14:textId="77777777" w:rsidR="005F097B" w:rsidRDefault="005F097B" w:rsidP="005F097B">
      <w:pPr>
        <w:ind w:left="426"/>
        <w:rPr>
          <w:b/>
        </w:rPr>
      </w:pPr>
    </w:p>
    <w:p w14:paraId="68E0648B" w14:textId="2CF56E9E" w:rsidR="00D34FEA" w:rsidRDefault="00D363E8" w:rsidP="00D363E8">
      <w:pPr>
        <w:pStyle w:val="ListParagraph"/>
        <w:numPr>
          <w:ilvl w:val="0"/>
          <w:numId w:val="3"/>
        </w:numPr>
        <w:rPr>
          <w:b/>
        </w:rPr>
      </w:pPr>
      <w:r>
        <w:rPr>
          <w:b/>
        </w:rPr>
        <w:t>Introduction</w:t>
      </w:r>
    </w:p>
    <w:p w14:paraId="7373E8A8" w14:textId="77777777" w:rsidR="00D363E8" w:rsidRDefault="00D363E8" w:rsidP="00D363E8">
      <w:pPr>
        <w:ind w:left="360"/>
        <w:rPr>
          <w:b/>
        </w:rPr>
      </w:pPr>
    </w:p>
    <w:p w14:paraId="5C82079E" w14:textId="2F830E73" w:rsidR="003F268A" w:rsidRDefault="00D363E8" w:rsidP="00C16926">
      <w:pPr>
        <w:ind w:left="360"/>
        <w:rPr>
          <w:bCs/>
        </w:rPr>
      </w:pPr>
      <w:r>
        <w:rPr>
          <w:bCs/>
        </w:rPr>
        <w:t xml:space="preserve">This </w:t>
      </w:r>
      <w:r w:rsidR="002B1863">
        <w:rPr>
          <w:bCs/>
        </w:rPr>
        <w:t>R</w:t>
      </w:r>
      <w:r>
        <w:rPr>
          <w:bCs/>
        </w:rPr>
        <w:t>eserves</w:t>
      </w:r>
      <w:r w:rsidR="002B1863">
        <w:rPr>
          <w:bCs/>
        </w:rPr>
        <w:t xml:space="preserve"> Policy outlines the guidelines and principles for managing reserves within Sedcat. The purpose of this policy is to ensure the effective and prudent management of financial resources, allowing the Charity to fulfil </w:t>
      </w:r>
      <w:proofErr w:type="spellStart"/>
      <w:r w:rsidR="002B1863">
        <w:rPr>
          <w:bCs/>
        </w:rPr>
        <w:t>it’s</w:t>
      </w:r>
      <w:proofErr w:type="spellEnd"/>
      <w:r w:rsidR="002B1863">
        <w:rPr>
          <w:bCs/>
        </w:rPr>
        <w:t xml:space="preserve"> mission and sustain </w:t>
      </w:r>
      <w:proofErr w:type="spellStart"/>
      <w:r w:rsidR="002B1863">
        <w:rPr>
          <w:bCs/>
        </w:rPr>
        <w:t>it’s</w:t>
      </w:r>
      <w:proofErr w:type="spellEnd"/>
      <w:r w:rsidR="002B1863">
        <w:rPr>
          <w:bCs/>
        </w:rPr>
        <w:t xml:space="preserve"> operations in the long term.</w:t>
      </w:r>
      <w:r>
        <w:rPr>
          <w:bCs/>
        </w:rPr>
        <w:t xml:space="preserve"> </w:t>
      </w:r>
      <w:r w:rsidR="00C16926">
        <w:rPr>
          <w:bCs/>
        </w:rPr>
        <w:t xml:space="preserve"> </w:t>
      </w:r>
    </w:p>
    <w:p w14:paraId="05CCAAEF" w14:textId="77777777" w:rsidR="001E38CA" w:rsidRDefault="001E38CA" w:rsidP="00C16926">
      <w:pPr>
        <w:ind w:left="360"/>
        <w:rPr>
          <w:bCs/>
        </w:rPr>
      </w:pPr>
    </w:p>
    <w:p w14:paraId="2A955FE4" w14:textId="39BBB71D" w:rsidR="001E38CA" w:rsidRDefault="001E38CA" w:rsidP="001E38CA">
      <w:pPr>
        <w:pStyle w:val="ListParagraph"/>
        <w:numPr>
          <w:ilvl w:val="0"/>
          <w:numId w:val="3"/>
        </w:numPr>
        <w:rPr>
          <w:b/>
        </w:rPr>
      </w:pPr>
      <w:r>
        <w:rPr>
          <w:b/>
        </w:rPr>
        <w:t>Objective</w:t>
      </w:r>
    </w:p>
    <w:p w14:paraId="72AB5D61" w14:textId="77777777" w:rsidR="001E38CA" w:rsidRDefault="001E38CA" w:rsidP="001E38CA">
      <w:pPr>
        <w:rPr>
          <w:b/>
        </w:rPr>
      </w:pPr>
    </w:p>
    <w:p w14:paraId="79C30FE2" w14:textId="2573D7C0" w:rsidR="001E38CA" w:rsidRDefault="001E38CA" w:rsidP="001E38CA">
      <w:pPr>
        <w:ind w:left="360"/>
        <w:rPr>
          <w:bCs/>
        </w:rPr>
      </w:pPr>
      <w:r>
        <w:rPr>
          <w:bCs/>
        </w:rPr>
        <w:t xml:space="preserve">The primary objective of maintaining reserves is to provide financial stability and ensure the continuity of essential services provided by the Sedcat. Reserves act as a buffer against unexpected events, </w:t>
      </w:r>
      <w:r w:rsidR="000D5DCC">
        <w:rPr>
          <w:bCs/>
        </w:rPr>
        <w:t xml:space="preserve">economic fluctuations and operational challenges that my impact the Charity’s ability to fulfil </w:t>
      </w:r>
      <w:proofErr w:type="spellStart"/>
      <w:r w:rsidR="000D5DCC">
        <w:rPr>
          <w:bCs/>
        </w:rPr>
        <w:t>it’s</w:t>
      </w:r>
      <w:proofErr w:type="spellEnd"/>
      <w:r w:rsidR="000D5DCC">
        <w:rPr>
          <w:bCs/>
        </w:rPr>
        <w:t xml:space="preserve"> charitable objectives.</w:t>
      </w:r>
    </w:p>
    <w:p w14:paraId="09C36C6B" w14:textId="77777777" w:rsidR="00641953" w:rsidRDefault="00641953" w:rsidP="001E38CA">
      <w:pPr>
        <w:ind w:left="360"/>
        <w:rPr>
          <w:bCs/>
        </w:rPr>
      </w:pPr>
    </w:p>
    <w:p w14:paraId="3E929503" w14:textId="27ED001A" w:rsidR="00641953" w:rsidRDefault="00641953" w:rsidP="00641953">
      <w:pPr>
        <w:pStyle w:val="ListParagraph"/>
        <w:numPr>
          <w:ilvl w:val="0"/>
          <w:numId w:val="3"/>
        </w:numPr>
        <w:rPr>
          <w:b/>
        </w:rPr>
      </w:pPr>
      <w:r w:rsidRPr="00641953">
        <w:rPr>
          <w:b/>
        </w:rPr>
        <w:t>Reserves Types</w:t>
      </w:r>
    </w:p>
    <w:p w14:paraId="315EF347" w14:textId="77777777" w:rsidR="00641953" w:rsidRDefault="00641953" w:rsidP="00641953">
      <w:pPr>
        <w:rPr>
          <w:b/>
        </w:rPr>
      </w:pPr>
    </w:p>
    <w:p w14:paraId="677D89C2" w14:textId="69FE069F" w:rsidR="00641953" w:rsidRDefault="00641953" w:rsidP="00641953">
      <w:pPr>
        <w:ind w:left="360"/>
        <w:rPr>
          <w:bCs/>
        </w:rPr>
      </w:pPr>
      <w:r>
        <w:rPr>
          <w:bCs/>
        </w:rPr>
        <w:t>Sedcat shall maintain the following reserves</w:t>
      </w:r>
      <w:r w:rsidR="00D3560F">
        <w:rPr>
          <w:bCs/>
        </w:rPr>
        <w:t>:</w:t>
      </w:r>
    </w:p>
    <w:p w14:paraId="2B523794" w14:textId="747FA396" w:rsidR="00D3560F" w:rsidRDefault="00D3560F" w:rsidP="00641953">
      <w:pPr>
        <w:ind w:left="360"/>
        <w:rPr>
          <w:bCs/>
        </w:rPr>
      </w:pPr>
      <w:r>
        <w:rPr>
          <w:bCs/>
        </w:rPr>
        <w:tab/>
      </w:r>
    </w:p>
    <w:p w14:paraId="0C69E357" w14:textId="145497D1" w:rsidR="00D3560F" w:rsidRPr="00D3560F" w:rsidRDefault="00D3560F" w:rsidP="00685308">
      <w:pPr>
        <w:pStyle w:val="ListParagraph"/>
        <w:numPr>
          <w:ilvl w:val="0"/>
          <w:numId w:val="4"/>
        </w:numPr>
        <w:ind w:left="851" w:hanging="425"/>
        <w:rPr>
          <w:bCs/>
        </w:rPr>
      </w:pPr>
      <w:r w:rsidRPr="003A0323">
        <w:rPr>
          <w:b/>
        </w:rPr>
        <w:t>Operating Reserves:</w:t>
      </w:r>
      <w:r>
        <w:rPr>
          <w:bCs/>
        </w:rPr>
        <w:t xml:space="preserve"> These funds are set aside to cover day-to-day expenses, such as staff salaries, utility bills and maintenance costs. The operating reserves should be sufficient</w:t>
      </w:r>
      <w:r w:rsidR="00E83FA9">
        <w:rPr>
          <w:bCs/>
        </w:rPr>
        <w:t xml:space="preserve"> to cover a predetermined number of months’ worth of expenses, between</w:t>
      </w:r>
      <w:r w:rsidR="0008209E">
        <w:rPr>
          <w:bCs/>
        </w:rPr>
        <w:t xml:space="preserve"> 3 and 6 months.</w:t>
      </w:r>
    </w:p>
    <w:p w14:paraId="5692ECD4" w14:textId="77777777" w:rsidR="00CB6072" w:rsidRDefault="00CB6072" w:rsidP="00CB6072"/>
    <w:p w14:paraId="5692ECD5" w14:textId="77777777" w:rsidR="00CB6072" w:rsidRDefault="00CB6072" w:rsidP="00685308">
      <w:pPr>
        <w:ind w:left="131" w:firstLine="720"/>
        <w:rPr>
          <w:lang w:val="en"/>
        </w:rPr>
      </w:pPr>
      <w:r>
        <w:rPr>
          <w:lang w:val="en"/>
        </w:rPr>
        <w:t>The Charity Commission Guidance is set out in the paper CC19 and this states:</w:t>
      </w:r>
    </w:p>
    <w:p w14:paraId="5692ECD6" w14:textId="77777777" w:rsidR="00CB6072" w:rsidRDefault="00CB6072" w:rsidP="00CB6072">
      <w:pPr>
        <w:rPr>
          <w:lang w:val="en"/>
        </w:rPr>
      </w:pPr>
    </w:p>
    <w:p w14:paraId="5692ECD7" w14:textId="77777777" w:rsidR="00CB6072" w:rsidRDefault="00CB6072" w:rsidP="00685308">
      <w:pPr>
        <w:ind w:left="851"/>
      </w:pPr>
      <w:r>
        <w:rPr>
          <w:lang w:val="en"/>
        </w:rPr>
        <w:t>‘There is no single level or even a range of reserves that is right for all charities. Any target set by trustees for the level of reserves to be held should reflect the particular circumstances of the individual charity. To do this, trustees need to know why the charity should hold reserves and, having identified those needs, the trustees should consider how much should be held to meet them.’</w:t>
      </w:r>
    </w:p>
    <w:p w14:paraId="5692ECD8" w14:textId="77777777" w:rsidR="00CB6072" w:rsidRDefault="00CB6072" w:rsidP="00CB6072"/>
    <w:p w14:paraId="5692ECDB" w14:textId="118559D1" w:rsidR="00CB6072" w:rsidRDefault="00CB6072" w:rsidP="00685308">
      <w:pPr>
        <w:ind w:left="851"/>
      </w:pPr>
      <w:r>
        <w:t xml:space="preserve">It is no longer necessary to keep a minimum level of reserves / restricted funds based on 6 or more months running costs. </w:t>
      </w:r>
      <w:r w:rsidR="00C0352B">
        <w:t>However, d</w:t>
      </w:r>
      <w:r>
        <w:t xml:space="preserve">ue to the type of service provided by SEDCAT, how it is funded and the SLA / Contract notice period, it would not be necessary to keep 6 months running costs held in restricted funds. At most 3 months running costs would be needed to allow for late payments by the local authority or wrap up period. </w:t>
      </w:r>
    </w:p>
    <w:p w14:paraId="5692ECDC" w14:textId="77777777" w:rsidR="00CB6072" w:rsidRDefault="00CB6072" w:rsidP="00CB6072"/>
    <w:p w14:paraId="5692ECDD" w14:textId="45069AE2" w:rsidR="00CB6072" w:rsidRDefault="00CB6072" w:rsidP="00302125">
      <w:pPr>
        <w:ind w:left="851"/>
      </w:pPr>
      <w:r>
        <w:t xml:space="preserve">If SEDCAT lost the </w:t>
      </w:r>
      <w:r w:rsidR="008529A8">
        <w:t xml:space="preserve">BCP Council </w:t>
      </w:r>
      <w:r>
        <w:t xml:space="preserve">SLA / Contract to provide community transport services, </w:t>
      </w:r>
      <w:r w:rsidR="00883EDF">
        <w:t>SEDCAT would need to source other funding to ensure we can still provide a service to our clients.</w:t>
      </w:r>
      <w:r w:rsidR="00F1283F">
        <w:t xml:space="preserve"> With the recent</w:t>
      </w:r>
      <w:r w:rsidR="00562A4C">
        <w:t xml:space="preserve"> increase in charges and </w:t>
      </w:r>
      <w:r w:rsidR="00322CBE">
        <w:t xml:space="preserve">changes to operational </w:t>
      </w:r>
      <w:r w:rsidR="00D719FE">
        <w:t xml:space="preserve">practices </w:t>
      </w:r>
      <w:r w:rsidR="000D240B">
        <w:t xml:space="preserve">SEDCAT is in a better position to </w:t>
      </w:r>
      <w:r w:rsidR="008E150E">
        <w:t>be more sustainable.</w:t>
      </w:r>
    </w:p>
    <w:p w14:paraId="5692ECDE" w14:textId="77777777" w:rsidR="00CB6072" w:rsidRDefault="00CB6072" w:rsidP="00CB6072"/>
    <w:p w14:paraId="5762AAD7" w14:textId="77777777" w:rsidR="00BB47FC" w:rsidRDefault="00CB6072" w:rsidP="00CB6072">
      <w:pPr>
        <w:rPr>
          <w:b/>
        </w:rPr>
      </w:pPr>
      <w:r>
        <w:rPr>
          <w:b/>
        </w:rPr>
        <w:tab/>
      </w:r>
    </w:p>
    <w:p w14:paraId="76714CAD" w14:textId="77777777" w:rsidR="00BB47FC" w:rsidRDefault="00BB47FC" w:rsidP="00CB6072">
      <w:pPr>
        <w:rPr>
          <w:b/>
        </w:rPr>
      </w:pPr>
    </w:p>
    <w:p w14:paraId="1629D837" w14:textId="77777777" w:rsidR="00BB47FC" w:rsidRDefault="00BB47FC" w:rsidP="00CB6072">
      <w:pPr>
        <w:rPr>
          <w:b/>
        </w:rPr>
      </w:pPr>
    </w:p>
    <w:p w14:paraId="0339A381" w14:textId="77777777" w:rsidR="00BB47FC" w:rsidRDefault="00BB47FC" w:rsidP="00CB6072">
      <w:pPr>
        <w:rPr>
          <w:b/>
        </w:rPr>
      </w:pPr>
    </w:p>
    <w:p w14:paraId="5692ECDF" w14:textId="5E58797D" w:rsidR="00CB6072" w:rsidRDefault="00CB6072" w:rsidP="00CB6072">
      <w:pPr>
        <w:rPr>
          <w:b/>
        </w:rPr>
      </w:pPr>
      <w:r>
        <w:rPr>
          <w:b/>
        </w:rPr>
        <w:t xml:space="preserve"> Reserves to be held to cover loss of core SLA / Contract funding.</w:t>
      </w:r>
    </w:p>
    <w:p w14:paraId="5692ECE0" w14:textId="77777777" w:rsidR="00CB6072" w:rsidRDefault="00CB6072" w:rsidP="00CB6072"/>
    <w:p w14:paraId="5692ECE1" w14:textId="47EE9242" w:rsidR="00CB6072" w:rsidRDefault="00CB6072" w:rsidP="008E150E">
      <w:pPr>
        <w:ind w:left="720"/>
      </w:pPr>
      <w:r>
        <w:t>The current SLA with BC</w:t>
      </w:r>
      <w:r w:rsidR="0000167E">
        <w:t>P Council</w:t>
      </w:r>
      <w:r>
        <w:t xml:space="preserve"> has a 3 month notice period either side. As part of this SLA, B</w:t>
      </w:r>
      <w:r w:rsidR="0000167E">
        <w:t xml:space="preserve">CP </w:t>
      </w:r>
      <w:r>
        <w:t xml:space="preserve">maintain the minibuses </w:t>
      </w:r>
      <w:r w:rsidR="00634E41">
        <w:t xml:space="preserve">and provide us with </w:t>
      </w:r>
      <w:r w:rsidR="00F71B80">
        <w:t xml:space="preserve">the use of </w:t>
      </w:r>
      <w:r w:rsidR="00634E41">
        <w:t>one of the</w:t>
      </w:r>
      <w:r w:rsidR="00F71B80">
        <w:t>ir</w:t>
      </w:r>
      <w:r w:rsidR="00634E41">
        <w:t xml:space="preserve"> minibuses, </w:t>
      </w:r>
      <w:r w:rsidR="00FD561C">
        <w:t xml:space="preserve">Sedcat own the </w:t>
      </w:r>
      <w:r w:rsidR="00E66A7C">
        <w:t>5</w:t>
      </w:r>
      <w:r w:rsidR="00FD561C">
        <w:t xml:space="preserve"> other vehicles.</w:t>
      </w:r>
      <w:r>
        <w:t xml:space="preserve"> </w:t>
      </w:r>
    </w:p>
    <w:p w14:paraId="5692ECE2" w14:textId="77777777" w:rsidR="00CB6072" w:rsidRDefault="00CB6072" w:rsidP="00CB6072"/>
    <w:p w14:paraId="5692ECE3" w14:textId="0F6C7143" w:rsidR="00CB6072" w:rsidRDefault="00CB6072" w:rsidP="00CB6072">
      <w:r>
        <w:t xml:space="preserve">It is presumed that the council would </w:t>
      </w:r>
      <w:r w:rsidR="00FA66F9">
        <w:t xml:space="preserve">however </w:t>
      </w:r>
      <w:r>
        <w:t xml:space="preserve">tender their Shopmobility grant as part of the Core Community Transport tender. Furthermore, Shopmobility is not sustainable </w:t>
      </w:r>
      <w:r w:rsidR="00FA66F9">
        <w:t xml:space="preserve">at </w:t>
      </w:r>
      <w:r>
        <w:t>Castlepoint without core funding f</w:t>
      </w:r>
      <w:r w:rsidR="004E1F7A">
        <w:t>rom</w:t>
      </w:r>
      <w:r>
        <w:t xml:space="preserve"> the Community Transport services due to the shared staffing resource and infrastructure. It is reasonable to assume that if the B</w:t>
      </w:r>
      <w:r w:rsidR="00E64B41">
        <w:t>CP</w:t>
      </w:r>
      <w:r>
        <w:t xml:space="preserve"> grant</w:t>
      </w:r>
      <w:r w:rsidR="001F6C47">
        <w:t>s</w:t>
      </w:r>
      <w:r>
        <w:t xml:space="preserve"> are stopped or SEDCAT lost the SLA / Contract, Shopmobility would close or be transferred to a new provider. </w:t>
      </w:r>
    </w:p>
    <w:p w14:paraId="5692ECE4" w14:textId="77777777" w:rsidR="00CB6072" w:rsidRDefault="00CB6072" w:rsidP="00CB6072"/>
    <w:p w14:paraId="5692ECE5" w14:textId="77777777" w:rsidR="00CB6072" w:rsidRDefault="00CB6072" w:rsidP="00CB6072">
      <w:r>
        <w:t>There are three likely outcomes which would affect the level of reserves held based on changes to the SLA / Contract.</w:t>
      </w:r>
    </w:p>
    <w:p w14:paraId="5692ECE6" w14:textId="77777777" w:rsidR="00CB6072" w:rsidRDefault="00CB6072" w:rsidP="00CB6072"/>
    <w:p w14:paraId="5692ECE7" w14:textId="4652EC1D" w:rsidR="00CB6072" w:rsidRDefault="00CB6072" w:rsidP="00CB6072">
      <w:r>
        <w:t xml:space="preserve">These three outcomes also assume that SEDCAT is only receiving the core grants at the current level. If there were additional contracts or on-going funding from other sources the reserves policy would need to be reviewed again as there would be a greater chance of a service continuing.  </w:t>
      </w:r>
      <w:r w:rsidR="00E30D3C">
        <w:t xml:space="preserve">SEDCAT also continuously </w:t>
      </w:r>
      <w:r w:rsidR="00110F36">
        <w:t>apply for other Grants to ensure the sustainability of the Charity.</w:t>
      </w:r>
    </w:p>
    <w:p w14:paraId="5692ECE8" w14:textId="77777777" w:rsidR="00CB6072" w:rsidRDefault="00CB6072" w:rsidP="00CB6072"/>
    <w:p w14:paraId="5692ECE9" w14:textId="4C9DFA00" w:rsidR="00CB6072" w:rsidRDefault="00CB6072" w:rsidP="00CB6072">
      <w:r>
        <w:rPr>
          <w:b/>
        </w:rPr>
        <w:t>Outcome 1</w:t>
      </w:r>
      <w:r>
        <w:t xml:space="preserve"> – </w:t>
      </w:r>
      <w:r>
        <w:rPr>
          <w:b/>
        </w:rPr>
        <w:t>B</w:t>
      </w:r>
      <w:r w:rsidR="004C6FFE">
        <w:rPr>
          <w:b/>
        </w:rPr>
        <w:t>CP</w:t>
      </w:r>
      <w:r>
        <w:rPr>
          <w:b/>
        </w:rPr>
        <w:t xml:space="preserve"> terminates the SLA / Contract with SEDCAT</w:t>
      </w:r>
      <w:r>
        <w:t xml:space="preserve"> and no longer funds </w:t>
      </w:r>
      <w:r w:rsidR="00DD33B4">
        <w:t xml:space="preserve">Bat Bus / </w:t>
      </w:r>
      <w:r>
        <w:t>Community Transport / Shopmobility in the local area. B</w:t>
      </w:r>
      <w:r w:rsidR="004C6FFE">
        <w:t>CP</w:t>
      </w:r>
      <w:r>
        <w:t xml:space="preserve"> would provide 3 months’ notice to coincide with the end of the current SLA / Contract period. This would also mean that SEDCAT no longer ha</w:t>
      </w:r>
      <w:r w:rsidR="00802AFD">
        <w:t>s</w:t>
      </w:r>
      <w:r>
        <w:t xml:space="preserve"> access to </w:t>
      </w:r>
      <w:r w:rsidR="004C6FFE">
        <w:t xml:space="preserve">1 of the </w:t>
      </w:r>
      <w:r>
        <w:t>buses since th</w:t>
      </w:r>
      <w:r w:rsidR="00554F60">
        <w:t>i</w:t>
      </w:r>
      <w:r>
        <w:t xml:space="preserve">s </w:t>
      </w:r>
      <w:r w:rsidR="003A287C">
        <w:t>is</w:t>
      </w:r>
      <w:r>
        <w:t xml:space="preserve"> owned and maintained by B</w:t>
      </w:r>
      <w:r w:rsidR="00554F60">
        <w:t>CP</w:t>
      </w:r>
      <w:r>
        <w:t xml:space="preserve">. SEDCAT’s operations </w:t>
      </w:r>
      <w:r w:rsidR="004E50D5">
        <w:t>could continue</w:t>
      </w:r>
      <w:r w:rsidR="00E2704B">
        <w:t xml:space="preserve"> based on increasing fee charges</w:t>
      </w:r>
      <w:r>
        <w:t xml:space="preserve"> </w:t>
      </w:r>
      <w:r w:rsidR="00E33A0B">
        <w:t>to ensure we can continue covering our core costs</w:t>
      </w:r>
      <w:r w:rsidR="00502CB2">
        <w:t xml:space="preserve"> and apply for other Grants.</w:t>
      </w:r>
    </w:p>
    <w:p w14:paraId="5692ECEA" w14:textId="77777777" w:rsidR="00CB6072" w:rsidRDefault="00CB6072" w:rsidP="00CB6072"/>
    <w:p w14:paraId="5692ECEB" w14:textId="09D14225" w:rsidR="00CB6072" w:rsidRDefault="00CB6072" w:rsidP="00CB6072">
      <w:r>
        <w:t>Th</w:t>
      </w:r>
      <w:r w:rsidR="00097B62">
        <w:t>e initial</w:t>
      </w:r>
      <w:r>
        <w:t xml:space="preserve"> notice period would be funded by </w:t>
      </w:r>
      <w:r w:rsidR="00554F60">
        <w:t>BCP</w:t>
      </w:r>
      <w:r>
        <w:t xml:space="preserve"> Council so SEDCAT would only need to keep Redundancy Payments in reserves at a total of</w:t>
      </w:r>
      <w:r>
        <w:rPr>
          <w:b/>
        </w:rPr>
        <w:t xml:space="preserve"> £</w:t>
      </w:r>
      <w:r w:rsidR="00ED1E6C">
        <w:rPr>
          <w:b/>
        </w:rPr>
        <w:t>9,</w:t>
      </w:r>
      <w:r w:rsidR="00246F1F">
        <w:rPr>
          <w:b/>
        </w:rPr>
        <w:t>343</w:t>
      </w:r>
      <w:r>
        <w:rPr>
          <w:b/>
        </w:rPr>
        <w:t xml:space="preserve"> </w:t>
      </w:r>
      <w:r>
        <w:t>SEDCAT would use this notice period to find alternative sources of income if possible</w:t>
      </w:r>
      <w:r w:rsidR="00741B9C">
        <w:t>.</w:t>
      </w:r>
    </w:p>
    <w:p w14:paraId="5692ECEC" w14:textId="77777777" w:rsidR="00CB6072" w:rsidRDefault="00CB6072" w:rsidP="00CB6072">
      <w:pPr>
        <w:rPr>
          <w:b/>
        </w:rPr>
      </w:pPr>
    </w:p>
    <w:p w14:paraId="5692ECED" w14:textId="727DC46D" w:rsidR="00CB6072" w:rsidRDefault="00CB6072" w:rsidP="00CB6072">
      <w:r>
        <w:rPr>
          <w:b/>
        </w:rPr>
        <w:t xml:space="preserve">Outcome 2 – SEDCAT lost the SLA / contract </w:t>
      </w:r>
      <w:r>
        <w:t xml:space="preserve">and the service will be provided by a new provider. SEDCAT would be given the appropriate notice period and be funded up to the end of this period. </w:t>
      </w:r>
      <w:r w:rsidR="001A3031">
        <w:t xml:space="preserve">The 1 </w:t>
      </w:r>
      <w:r>
        <w:t>B</w:t>
      </w:r>
      <w:r w:rsidR="008538D0">
        <w:t>CP</w:t>
      </w:r>
      <w:r>
        <w:t xml:space="preserve"> vehicle would </w:t>
      </w:r>
      <w:r w:rsidR="001A3031">
        <w:t>be handed back</w:t>
      </w:r>
      <w:r>
        <w:t xml:space="preserve">. Depending on negotiations, who the provider may be and in the interests of SEDCAT’s members, SEDCAT may choose to transfer assets and membership details over to them, including Castlepoint Shopmobility. </w:t>
      </w:r>
    </w:p>
    <w:p w14:paraId="5692ECEE" w14:textId="77777777" w:rsidR="00CB6072" w:rsidRDefault="00CB6072" w:rsidP="00CB6072"/>
    <w:p w14:paraId="5692ECEF" w14:textId="153C95DE" w:rsidR="00CB6072" w:rsidRDefault="00CB6072" w:rsidP="00CB6072">
      <w:pPr>
        <w:rPr>
          <w:b/>
        </w:rPr>
      </w:pPr>
      <w:r>
        <w:t xml:space="preserve">Most, </w:t>
      </w:r>
      <w:r w:rsidR="006A4092">
        <w:t>of the</w:t>
      </w:r>
      <w:r>
        <w:t xml:space="preserve"> staff are likely to be eligible for TUPE. Volunteers could choose if they wished to transfer to the new organisation. TUPE costs should be met by the new provider or B</w:t>
      </w:r>
      <w:r w:rsidR="00E553A8">
        <w:t>CP</w:t>
      </w:r>
      <w:r>
        <w:t>. SEDCAT would only need to keep Redundancy Payments in reserves at a total of</w:t>
      </w:r>
      <w:r>
        <w:rPr>
          <w:b/>
        </w:rPr>
        <w:t xml:space="preserve"> £</w:t>
      </w:r>
      <w:r w:rsidR="00F57399">
        <w:rPr>
          <w:b/>
        </w:rPr>
        <w:t>9,</w:t>
      </w:r>
      <w:r w:rsidR="00246F1F">
        <w:rPr>
          <w:b/>
        </w:rPr>
        <w:t>3</w:t>
      </w:r>
      <w:r w:rsidR="00F57399">
        <w:rPr>
          <w:b/>
        </w:rPr>
        <w:t>43.00</w:t>
      </w:r>
      <w:r>
        <w:rPr>
          <w:b/>
        </w:rPr>
        <w:t xml:space="preserve"> </w:t>
      </w:r>
      <w:r>
        <w:t>but should consider it may not need to spend this as staff would transfer under TUPE.</w:t>
      </w:r>
    </w:p>
    <w:p w14:paraId="5692ECF0" w14:textId="77777777" w:rsidR="00CB6072" w:rsidRDefault="00CB6072" w:rsidP="00CB6072"/>
    <w:p w14:paraId="5692ECF1" w14:textId="60C77F8B" w:rsidR="00CB6072" w:rsidRDefault="00CB6072" w:rsidP="00CB6072">
      <w:pPr>
        <w:rPr>
          <w:b/>
        </w:rPr>
      </w:pPr>
      <w:r>
        <w:rPr>
          <w:b/>
        </w:rPr>
        <w:t>Outcome 3 –</w:t>
      </w:r>
      <w:r>
        <w:t xml:space="preserve"> </w:t>
      </w:r>
      <w:r>
        <w:rPr>
          <w:b/>
        </w:rPr>
        <w:t>SEDCAT can no longer meet its objectives</w:t>
      </w:r>
      <w:r>
        <w:t xml:space="preserve"> and chooses to terminate the SLA / Contract. SEDCAT should inform B</w:t>
      </w:r>
      <w:r w:rsidR="00872448">
        <w:t>CP</w:t>
      </w:r>
      <w:r>
        <w:t xml:space="preserve"> at the earliest stage of this decision so B</w:t>
      </w:r>
      <w:r w:rsidR="00872448">
        <w:t>CP</w:t>
      </w:r>
      <w:r>
        <w:t xml:space="preserve"> can make alternative arrangements and find a new provider. SEDCAT would be funded until the end of the notice period and it would only need to keep Redundancy Payments in reserves at a total of</w:t>
      </w:r>
      <w:r>
        <w:rPr>
          <w:b/>
        </w:rPr>
        <w:t xml:space="preserve"> </w:t>
      </w:r>
      <w:r w:rsidR="00F57399">
        <w:rPr>
          <w:b/>
        </w:rPr>
        <w:t>£9,</w:t>
      </w:r>
      <w:r w:rsidR="00246F1F">
        <w:rPr>
          <w:b/>
        </w:rPr>
        <w:t>3</w:t>
      </w:r>
      <w:r w:rsidR="00F57399">
        <w:rPr>
          <w:b/>
        </w:rPr>
        <w:t>43.00</w:t>
      </w:r>
    </w:p>
    <w:p w14:paraId="5692ECF2" w14:textId="77777777" w:rsidR="00CB6072" w:rsidRDefault="00CB6072" w:rsidP="00CB6072"/>
    <w:p w14:paraId="5692ECF3" w14:textId="77777777" w:rsidR="00CB6072" w:rsidRDefault="00CB6072" w:rsidP="00CB6072">
      <w:r>
        <w:t xml:space="preserve">Total reserves to be held to cover redundancies </w:t>
      </w:r>
    </w:p>
    <w:p w14:paraId="5692ECF4" w14:textId="77777777" w:rsidR="00CB6072" w:rsidRDefault="00CB6072" w:rsidP="00CB6072"/>
    <w:p w14:paraId="5692ECF6" w14:textId="7EEE269F" w:rsidR="00CB6072" w:rsidRDefault="005B5429" w:rsidP="00CB6072">
      <w:pPr>
        <w:rPr>
          <w:b/>
        </w:rPr>
      </w:pPr>
      <w:r>
        <w:rPr>
          <w:b/>
        </w:rPr>
        <w:t>£9,</w:t>
      </w:r>
      <w:r w:rsidR="00246F1F">
        <w:rPr>
          <w:b/>
        </w:rPr>
        <w:t>3</w:t>
      </w:r>
      <w:r>
        <w:rPr>
          <w:b/>
        </w:rPr>
        <w:t>43.00</w:t>
      </w:r>
    </w:p>
    <w:p w14:paraId="01860BA4" w14:textId="77777777" w:rsidR="005B5429" w:rsidRDefault="005B5429" w:rsidP="00CB6072"/>
    <w:p w14:paraId="5692ECF7" w14:textId="77777777" w:rsidR="00CB6072" w:rsidRDefault="00CB6072" w:rsidP="00CB6072">
      <w:pPr>
        <w:rPr>
          <w:b/>
        </w:rPr>
      </w:pPr>
      <w:r>
        <w:rPr>
          <w:b/>
        </w:rPr>
        <w:t xml:space="preserve">3.0 </w:t>
      </w:r>
      <w:r>
        <w:rPr>
          <w:b/>
        </w:rPr>
        <w:tab/>
        <w:t>Reserves to be held to cover operational costs</w:t>
      </w:r>
    </w:p>
    <w:p w14:paraId="5692ECF8" w14:textId="77777777" w:rsidR="00CB6072" w:rsidRDefault="00CB6072" w:rsidP="00CB6072"/>
    <w:p w14:paraId="5692ECF9" w14:textId="77777777" w:rsidR="00CB6072" w:rsidRDefault="00CB6072" w:rsidP="00CB6072">
      <w:r>
        <w:t>In addition to the above outcomes based on a loss of SLA / Contract and core grant funding, there is the need to hold the following additional reserves:</w:t>
      </w:r>
    </w:p>
    <w:p w14:paraId="5692ECFA" w14:textId="77777777" w:rsidR="00CB6072" w:rsidRDefault="00CB6072" w:rsidP="00CB6072"/>
    <w:p w14:paraId="5692ECFB" w14:textId="69702FE0" w:rsidR="00CB6072" w:rsidRDefault="00CB6072" w:rsidP="00CB6072">
      <w:pPr>
        <w:pStyle w:val="ListParagraph"/>
        <w:numPr>
          <w:ilvl w:val="0"/>
          <w:numId w:val="1"/>
        </w:numPr>
      </w:pPr>
      <w:r>
        <w:rPr>
          <w:b/>
        </w:rPr>
        <w:t>Grant Payment in arrears</w:t>
      </w:r>
      <w:r>
        <w:t xml:space="preserve">: </w:t>
      </w:r>
      <w:r w:rsidR="004E371A">
        <w:t>BCP</w:t>
      </w:r>
      <w:r>
        <w:t xml:space="preserve"> should pay their grant in advance of the funded period, but to allow for late payments, it would be prudent to keep 3 months operational costs less non-grant income. </w:t>
      </w:r>
    </w:p>
    <w:p w14:paraId="5692ECFC" w14:textId="77777777" w:rsidR="00CB6072" w:rsidRDefault="00CB6072" w:rsidP="00CB6072">
      <w:pPr>
        <w:pStyle w:val="ListParagraph"/>
      </w:pPr>
    </w:p>
    <w:p w14:paraId="5692ECFD" w14:textId="0DA6B09A" w:rsidR="00CB6072" w:rsidRDefault="00CB6072" w:rsidP="00CB6072">
      <w:pPr>
        <w:pStyle w:val="ListParagraph"/>
      </w:pPr>
      <w:r>
        <w:t>The total reserves needed for 3 months operating costs are</w:t>
      </w:r>
      <w:r w:rsidR="008C3781">
        <w:t xml:space="preserve"> broken down as follows</w:t>
      </w:r>
      <w:r>
        <w:t>:</w:t>
      </w:r>
    </w:p>
    <w:p w14:paraId="0542932B" w14:textId="77777777" w:rsidR="003239A5" w:rsidRDefault="003239A5" w:rsidP="00CB6072">
      <w:pPr>
        <w:pStyle w:val="ListParagraph"/>
      </w:pPr>
    </w:p>
    <w:tbl>
      <w:tblPr>
        <w:tblStyle w:val="TableGrid"/>
        <w:tblW w:w="0" w:type="auto"/>
        <w:tblInd w:w="720" w:type="dxa"/>
        <w:tblLook w:val="04A0" w:firstRow="1" w:lastRow="0" w:firstColumn="1" w:lastColumn="0" w:noHBand="0" w:noVBand="1"/>
      </w:tblPr>
      <w:tblGrid>
        <w:gridCol w:w="1908"/>
        <w:gridCol w:w="998"/>
        <w:gridCol w:w="1294"/>
        <w:gridCol w:w="1326"/>
        <w:gridCol w:w="2770"/>
      </w:tblGrid>
      <w:tr w:rsidR="00E617F1" w14:paraId="375ABB82" w14:textId="4AC8C17D" w:rsidTr="008C3781">
        <w:tc>
          <w:tcPr>
            <w:tcW w:w="1908" w:type="dxa"/>
          </w:tcPr>
          <w:p w14:paraId="083C6492" w14:textId="77777777" w:rsidR="00E617F1" w:rsidRDefault="00E617F1" w:rsidP="00CB6072">
            <w:pPr>
              <w:pStyle w:val="ListParagraph"/>
              <w:ind w:left="0"/>
            </w:pPr>
          </w:p>
        </w:tc>
        <w:tc>
          <w:tcPr>
            <w:tcW w:w="998" w:type="dxa"/>
          </w:tcPr>
          <w:p w14:paraId="0FEAFB06" w14:textId="2EB7B87E" w:rsidR="00E617F1" w:rsidRPr="00F4410F" w:rsidRDefault="00E617F1" w:rsidP="00CB6072">
            <w:pPr>
              <w:pStyle w:val="ListParagraph"/>
              <w:ind w:left="0"/>
              <w:rPr>
                <w:b/>
                <w:bCs/>
              </w:rPr>
            </w:pPr>
            <w:r w:rsidRPr="00F4410F">
              <w:rPr>
                <w:b/>
                <w:bCs/>
              </w:rPr>
              <w:t>Monthly Cost</w:t>
            </w:r>
          </w:p>
        </w:tc>
        <w:tc>
          <w:tcPr>
            <w:tcW w:w="1294" w:type="dxa"/>
          </w:tcPr>
          <w:p w14:paraId="44ACE1AE" w14:textId="736CF045" w:rsidR="00E617F1" w:rsidRDefault="00E617F1" w:rsidP="00CB6072">
            <w:pPr>
              <w:pStyle w:val="ListParagraph"/>
              <w:ind w:left="0"/>
            </w:pPr>
            <w:r>
              <w:rPr>
                <w:b/>
              </w:rPr>
              <w:t>3 Month Total</w:t>
            </w:r>
          </w:p>
        </w:tc>
        <w:tc>
          <w:tcPr>
            <w:tcW w:w="1326" w:type="dxa"/>
          </w:tcPr>
          <w:p w14:paraId="6911C066" w14:textId="0D53A7B7" w:rsidR="00E617F1" w:rsidRDefault="00E617F1" w:rsidP="00CB6072">
            <w:pPr>
              <w:pStyle w:val="ListParagraph"/>
              <w:ind w:left="0"/>
            </w:pPr>
            <w:r>
              <w:rPr>
                <w:b/>
              </w:rPr>
              <w:t>Income Exc</w:t>
            </w:r>
            <w:r w:rsidR="00D82741">
              <w:rPr>
                <w:b/>
              </w:rPr>
              <w:t>luding</w:t>
            </w:r>
            <w:r>
              <w:rPr>
                <w:b/>
              </w:rPr>
              <w:t xml:space="preserve"> Gran</w:t>
            </w:r>
            <w:r w:rsidR="00D82741">
              <w:rPr>
                <w:b/>
              </w:rPr>
              <w:t>t</w:t>
            </w:r>
          </w:p>
        </w:tc>
        <w:tc>
          <w:tcPr>
            <w:tcW w:w="2770" w:type="dxa"/>
          </w:tcPr>
          <w:p w14:paraId="12B3A703" w14:textId="39FCFCC4" w:rsidR="00E617F1" w:rsidRDefault="00F4410F" w:rsidP="00CB6072">
            <w:pPr>
              <w:pStyle w:val="ListParagraph"/>
              <w:ind w:left="0"/>
              <w:rPr>
                <w:b/>
              </w:rPr>
            </w:pPr>
            <w:r>
              <w:rPr>
                <w:b/>
              </w:rPr>
              <w:t>Total Reserves to be held</w:t>
            </w:r>
          </w:p>
        </w:tc>
      </w:tr>
      <w:tr w:rsidR="00E617F1" w14:paraId="77B05CB6" w14:textId="12FAB870" w:rsidTr="008C3781">
        <w:tc>
          <w:tcPr>
            <w:tcW w:w="1908" w:type="dxa"/>
          </w:tcPr>
          <w:p w14:paraId="75E62753" w14:textId="0A21F0DB" w:rsidR="00E617F1" w:rsidRDefault="00E617F1" w:rsidP="00CB6072">
            <w:pPr>
              <w:pStyle w:val="ListParagraph"/>
              <w:ind w:left="0"/>
            </w:pPr>
            <w:r>
              <w:t>Volunteer expenses (fuel reimbursement)</w:t>
            </w:r>
          </w:p>
        </w:tc>
        <w:tc>
          <w:tcPr>
            <w:tcW w:w="998" w:type="dxa"/>
          </w:tcPr>
          <w:p w14:paraId="197F9DD4" w14:textId="3BA68F91" w:rsidR="00E617F1" w:rsidRDefault="00E617F1" w:rsidP="00CB6072">
            <w:pPr>
              <w:pStyle w:val="ListParagraph"/>
              <w:ind w:left="0"/>
            </w:pPr>
            <w:r>
              <w:t>£</w:t>
            </w:r>
            <w:r w:rsidR="00AC48C5">
              <w:t>8</w:t>
            </w:r>
            <w:r>
              <w:t>00</w:t>
            </w:r>
          </w:p>
        </w:tc>
        <w:tc>
          <w:tcPr>
            <w:tcW w:w="1294" w:type="dxa"/>
          </w:tcPr>
          <w:p w14:paraId="4FD69F76" w14:textId="5D592057" w:rsidR="00E617F1" w:rsidRDefault="00E617F1" w:rsidP="00CB6072">
            <w:pPr>
              <w:pStyle w:val="ListParagraph"/>
              <w:ind w:left="0"/>
            </w:pPr>
            <w:r>
              <w:t>£</w:t>
            </w:r>
            <w:r w:rsidR="00555706">
              <w:t>2</w:t>
            </w:r>
            <w:r w:rsidR="00766705">
              <w:t>4</w:t>
            </w:r>
            <w:r>
              <w:t>00</w:t>
            </w:r>
          </w:p>
        </w:tc>
        <w:tc>
          <w:tcPr>
            <w:tcW w:w="1326" w:type="dxa"/>
          </w:tcPr>
          <w:p w14:paraId="1DDEA91C" w14:textId="77777777" w:rsidR="00E617F1" w:rsidRDefault="00E617F1" w:rsidP="00CB6072">
            <w:pPr>
              <w:pStyle w:val="ListParagraph"/>
              <w:ind w:left="0"/>
            </w:pPr>
          </w:p>
        </w:tc>
        <w:tc>
          <w:tcPr>
            <w:tcW w:w="2770" w:type="dxa"/>
          </w:tcPr>
          <w:p w14:paraId="37826399" w14:textId="77777777" w:rsidR="00E617F1" w:rsidRDefault="00E617F1" w:rsidP="00CB6072">
            <w:pPr>
              <w:pStyle w:val="ListParagraph"/>
              <w:ind w:left="0"/>
            </w:pPr>
          </w:p>
        </w:tc>
      </w:tr>
      <w:tr w:rsidR="00E617F1" w14:paraId="5DBD531E" w14:textId="3B803A31" w:rsidTr="008C3781">
        <w:tc>
          <w:tcPr>
            <w:tcW w:w="1908" w:type="dxa"/>
          </w:tcPr>
          <w:p w14:paraId="43E1B312" w14:textId="36D8D7DC" w:rsidR="00E617F1" w:rsidRDefault="00E617F1" w:rsidP="00CB6072">
            <w:pPr>
              <w:pStyle w:val="ListParagraph"/>
              <w:ind w:left="0"/>
            </w:pPr>
            <w:r>
              <w:t>Bookkeeping</w:t>
            </w:r>
          </w:p>
        </w:tc>
        <w:tc>
          <w:tcPr>
            <w:tcW w:w="998" w:type="dxa"/>
          </w:tcPr>
          <w:p w14:paraId="449F843E" w14:textId="7DF18DC6" w:rsidR="00E617F1" w:rsidRDefault="00E617F1" w:rsidP="00CB6072">
            <w:pPr>
              <w:pStyle w:val="ListParagraph"/>
              <w:ind w:left="0"/>
            </w:pPr>
            <w:r>
              <w:t>£200</w:t>
            </w:r>
          </w:p>
        </w:tc>
        <w:tc>
          <w:tcPr>
            <w:tcW w:w="1294" w:type="dxa"/>
          </w:tcPr>
          <w:p w14:paraId="36A11C09" w14:textId="336A7BE0" w:rsidR="00E617F1" w:rsidRDefault="00E617F1" w:rsidP="00CB6072">
            <w:pPr>
              <w:pStyle w:val="ListParagraph"/>
              <w:ind w:left="0"/>
            </w:pPr>
            <w:r>
              <w:t>£600</w:t>
            </w:r>
          </w:p>
        </w:tc>
        <w:tc>
          <w:tcPr>
            <w:tcW w:w="1326" w:type="dxa"/>
          </w:tcPr>
          <w:p w14:paraId="23AEB63E" w14:textId="77777777" w:rsidR="00E617F1" w:rsidRDefault="00E617F1" w:rsidP="00CB6072">
            <w:pPr>
              <w:pStyle w:val="ListParagraph"/>
              <w:ind w:left="0"/>
            </w:pPr>
          </w:p>
        </w:tc>
        <w:tc>
          <w:tcPr>
            <w:tcW w:w="2770" w:type="dxa"/>
          </w:tcPr>
          <w:p w14:paraId="41453926" w14:textId="77777777" w:rsidR="00E617F1" w:rsidRDefault="00E617F1" w:rsidP="00CB6072">
            <w:pPr>
              <w:pStyle w:val="ListParagraph"/>
              <w:ind w:left="0"/>
            </w:pPr>
          </w:p>
        </w:tc>
      </w:tr>
      <w:tr w:rsidR="00E617F1" w14:paraId="2825A288" w14:textId="5BCFD16A" w:rsidTr="008C3781">
        <w:tc>
          <w:tcPr>
            <w:tcW w:w="1908" w:type="dxa"/>
          </w:tcPr>
          <w:p w14:paraId="5B46F84B" w14:textId="24AB835D" w:rsidR="00E617F1" w:rsidRDefault="00E617F1" w:rsidP="00CB6072">
            <w:pPr>
              <w:pStyle w:val="ListParagraph"/>
              <w:ind w:left="0"/>
            </w:pPr>
            <w:r>
              <w:t>Payroll</w:t>
            </w:r>
          </w:p>
        </w:tc>
        <w:tc>
          <w:tcPr>
            <w:tcW w:w="998" w:type="dxa"/>
          </w:tcPr>
          <w:p w14:paraId="4CB03A79" w14:textId="75FB2017" w:rsidR="00E617F1" w:rsidRDefault="00E617F1" w:rsidP="00CB6072">
            <w:pPr>
              <w:pStyle w:val="ListParagraph"/>
              <w:ind w:left="0"/>
            </w:pPr>
            <w:r>
              <w:t>£90</w:t>
            </w:r>
          </w:p>
        </w:tc>
        <w:tc>
          <w:tcPr>
            <w:tcW w:w="1294" w:type="dxa"/>
          </w:tcPr>
          <w:p w14:paraId="1FC01D02" w14:textId="655368E2" w:rsidR="00E617F1" w:rsidRDefault="00E617F1" w:rsidP="00CB6072">
            <w:pPr>
              <w:pStyle w:val="ListParagraph"/>
              <w:ind w:left="0"/>
            </w:pPr>
            <w:r>
              <w:t>£270</w:t>
            </w:r>
          </w:p>
        </w:tc>
        <w:tc>
          <w:tcPr>
            <w:tcW w:w="1326" w:type="dxa"/>
          </w:tcPr>
          <w:p w14:paraId="5F0CCE57" w14:textId="77777777" w:rsidR="00E617F1" w:rsidRDefault="00E617F1" w:rsidP="00CB6072">
            <w:pPr>
              <w:pStyle w:val="ListParagraph"/>
              <w:ind w:left="0"/>
            </w:pPr>
          </w:p>
        </w:tc>
        <w:tc>
          <w:tcPr>
            <w:tcW w:w="2770" w:type="dxa"/>
          </w:tcPr>
          <w:p w14:paraId="4EA1BBEE" w14:textId="77777777" w:rsidR="00E617F1" w:rsidRDefault="00E617F1" w:rsidP="00CB6072">
            <w:pPr>
              <w:pStyle w:val="ListParagraph"/>
              <w:ind w:left="0"/>
            </w:pPr>
          </w:p>
        </w:tc>
      </w:tr>
      <w:tr w:rsidR="00E617F1" w14:paraId="5D99B0BE" w14:textId="1DEBC4A0" w:rsidTr="008C3781">
        <w:tc>
          <w:tcPr>
            <w:tcW w:w="1908" w:type="dxa"/>
          </w:tcPr>
          <w:p w14:paraId="6D246D4D" w14:textId="0D546A34" w:rsidR="00E617F1" w:rsidRDefault="00E617F1" w:rsidP="00CB6072">
            <w:pPr>
              <w:pStyle w:val="ListParagraph"/>
              <w:ind w:left="0"/>
            </w:pPr>
            <w:r>
              <w:t>Bank charges</w:t>
            </w:r>
          </w:p>
        </w:tc>
        <w:tc>
          <w:tcPr>
            <w:tcW w:w="998" w:type="dxa"/>
          </w:tcPr>
          <w:p w14:paraId="29822400" w14:textId="5ED9BA33" w:rsidR="00E617F1" w:rsidRDefault="00E617F1" w:rsidP="00CB6072">
            <w:pPr>
              <w:pStyle w:val="ListParagraph"/>
              <w:ind w:left="0"/>
            </w:pPr>
            <w:r>
              <w:t>£50</w:t>
            </w:r>
          </w:p>
        </w:tc>
        <w:tc>
          <w:tcPr>
            <w:tcW w:w="1294" w:type="dxa"/>
          </w:tcPr>
          <w:p w14:paraId="00ABE5C0" w14:textId="52EA5E25" w:rsidR="00E617F1" w:rsidRDefault="00E617F1" w:rsidP="00CB6072">
            <w:pPr>
              <w:pStyle w:val="ListParagraph"/>
              <w:ind w:left="0"/>
            </w:pPr>
            <w:r>
              <w:t>£150</w:t>
            </w:r>
          </w:p>
        </w:tc>
        <w:tc>
          <w:tcPr>
            <w:tcW w:w="1326" w:type="dxa"/>
          </w:tcPr>
          <w:p w14:paraId="402D5F8C" w14:textId="77777777" w:rsidR="00E617F1" w:rsidRDefault="00E617F1" w:rsidP="00CB6072">
            <w:pPr>
              <w:pStyle w:val="ListParagraph"/>
              <w:ind w:left="0"/>
            </w:pPr>
          </w:p>
        </w:tc>
        <w:tc>
          <w:tcPr>
            <w:tcW w:w="2770" w:type="dxa"/>
          </w:tcPr>
          <w:p w14:paraId="78E302DE" w14:textId="77777777" w:rsidR="00E617F1" w:rsidRDefault="00E617F1" w:rsidP="00CB6072">
            <w:pPr>
              <w:pStyle w:val="ListParagraph"/>
              <w:ind w:left="0"/>
            </w:pPr>
          </w:p>
        </w:tc>
      </w:tr>
      <w:tr w:rsidR="00E617F1" w14:paraId="77B2F90B" w14:textId="552ACD60" w:rsidTr="008C3781">
        <w:tc>
          <w:tcPr>
            <w:tcW w:w="1908" w:type="dxa"/>
          </w:tcPr>
          <w:p w14:paraId="02F413A4" w14:textId="0ACC3A00" w:rsidR="00E617F1" w:rsidRDefault="00E617F1" w:rsidP="00CB6072">
            <w:pPr>
              <w:pStyle w:val="ListParagraph"/>
              <w:ind w:left="0"/>
            </w:pPr>
            <w:r>
              <w:t>Telephone</w:t>
            </w:r>
          </w:p>
        </w:tc>
        <w:tc>
          <w:tcPr>
            <w:tcW w:w="998" w:type="dxa"/>
          </w:tcPr>
          <w:p w14:paraId="68A2195F" w14:textId="31104C0E" w:rsidR="00E617F1" w:rsidRDefault="00E617F1" w:rsidP="00CB6072">
            <w:pPr>
              <w:pStyle w:val="ListParagraph"/>
              <w:ind w:left="0"/>
            </w:pPr>
            <w:r>
              <w:t>£96</w:t>
            </w:r>
          </w:p>
        </w:tc>
        <w:tc>
          <w:tcPr>
            <w:tcW w:w="1294" w:type="dxa"/>
          </w:tcPr>
          <w:p w14:paraId="2DB44475" w14:textId="2DABA8CD" w:rsidR="00E617F1" w:rsidRDefault="00E617F1" w:rsidP="00CB6072">
            <w:pPr>
              <w:pStyle w:val="ListParagraph"/>
              <w:ind w:left="0"/>
            </w:pPr>
            <w:r>
              <w:t>£288</w:t>
            </w:r>
          </w:p>
        </w:tc>
        <w:tc>
          <w:tcPr>
            <w:tcW w:w="1326" w:type="dxa"/>
          </w:tcPr>
          <w:p w14:paraId="7A0931C3" w14:textId="77777777" w:rsidR="00E617F1" w:rsidRDefault="00E617F1" w:rsidP="00CB6072">
            <w:pPr>
              <w:pStyle w:val="ListParagraph"/>
              <w:ind w:left="0"/>
            </w:pPr>
          </w:p>
        </w:tc>
        <w:tc>
          <w:tcPr>
            <w:tcW w:w="2770" w:type="dxa"/>
          </w:tcPr>
          <w:p w14:paraId="6615CF0A" w14:textId="77777777" w:rsidR="00E617F1" w:rsidRDefault="00E617F1" w:rsidP="00CB6072">
            <w:pPr>
              <w:pStyle w:val="ListParagraph"/>
              <w:ind w:left="0"/>
            </w:pPr>
          </w:p>
        </w:tc>
      </w:tr>
      <w:tr w:rsidR="00E617F1" w14:paraId="1B068B02" w14:textId="7F27A4C8" w:rsidTr="008C3781">
        <w:tc>
          <w:tcPr>
            <w:tcW w:w="1908" w:type="dxa"/>
          </w:tcPr>
          <w:p w14:paraId="462C9D85" w14:textId="5B16F8A6" w:rsidR="00E617F1" w:rsidRDefault="00E617F1" w:rsidP="00CB6072">
            <w:pPr>
              <w:pStyle w:val="ListParagraph"/>
              <w:ind w:left="0"/>
            </w:pPr>
            <w:r>
              <w:t>Fuel</w:t>
            </w:r>
          </w:p>
        </w:tc>
        <w:tc>
          <w:tcPr>
            <w:tcW w:w="998" w:type="dxa"/>
          </w:tcPr>
          <w:p w14:paraId="38A3C0E6" w14:textId="63378DB0" w:rsidR="00E617F1" w:rsidRDefault="00E617F1" w:rsidP="00CB6072">
            <w:pPr>
              <w:pStyle w:val="ListParagraph"/>
              <w:ind w:left="0"/>
            </w:pPr>
            <w:r>
              <w:t>£</w:t>
            </w:r>
            <w:r w:rsidR="00AC48C5">
              <w:t>4</w:t>
            </w:r>
            <w:r>
              <w:t>00</w:t>
            </w:r>
          </w:p>
        </w:tc>
        <w:tc>
          <w:tcPr>
            <w:tcW w:w="1294" w:type="dxa"/>
          </w:tcPr>
          <w:p w14:paraId="7D2BF943" w14:textId="5BA9E2D9" w:rsidR="00E617F1" w:rsidRDefault="00E617F1" w:rsidP="00CB6072">
            <w:pPr>
              <w:pStyle w:val="ListParagraph"/>
              <w:ind w:left="0"/>
            </w:pPr>
            <w:r>
              <w:t>£</w:t>
            </w:r>
            <w:r w:rsidR="00AC48C5">
              <w:t>12</w:t>
            </w:r>
            <w:r>
              <w:t>00</w:t>
            </w:r>
          </w:p>
        </w:tc>
        <w:tc>
          <w:tcPr>
            <w:tcW w:w="1326" w:type="dxa"/>
          </w:tcPr>
          <w:p w14:paraId="7377F734" w14:textId="77777777" w:rsidR="00E617F1" w:rsidRDefault="00E617F1" w:rsidP="00CB6072">
            <w:pPr>
              <w:pStyle w:val="ListParagraph"/>
              <w:ind w:left="0"/>
            </w:pPr>
          </w:p>
        </w:tc>
        <w:tc>
          <w:tcPr>
            <w:tcW w:w="2770" w:type="dxa"/>
          </w:tcPr>
          <w:p w14:paraId="2EE984B1" w14:textId="77777777" w:rsidR="00E617F1" w:rsidRDefault="00E617F1" w:rsidP="00CB6072">
            <w:pPr>
              <w:pStyle w:val="ListParagraph"/>
              <w:ind w:left="0"/>
            </w:pPr>
          </w:p>
        </w:tc>
      </w:tr>
      <w:tr w:rsidR="00E617F1" w14:paraId="5FAE9870" w14:textId="152B8994" w:rsidTr="008C3781">
        <w:tc>
          <w:tcPr>
            <w:tcW w:w="1908" w:type="dxa"/>
          </w:tcPr>
          <w:p w14:paraId="310ECE31" w14:textId="18F8A400" w:rsidR="00E617F1" w:rsidRDefault="00E617F1" w:rsidP="00CB6072">
            <w:pPr>
              <w:pStyle w:val="ListParagraph"/>
              <w:ind w:left="0"/>
            </w:pPr>
            <w:r>
              <w:t>IT Support</w:t>
            </w:r>
          </w:p>
        </w:tc>
        <w:tc>
          <w:tcPr>
            <w:tcW w:w="998" w:type="dxa"/>
          </w:tcPr>
          <w:p w14:paraId="2008F85B" w14:textId="26A5848B" w:rsidR="00E617F1" w:rsidRDefault="00E617F1" w:rsidP="00CB6072">
            <w:pPr>
              <w:pStyle w:val="ListParagraph"/>
              <w:ind w:left="0"/>
            </w:pPr>
            <w:r>
              <w:t>£93</w:t>
            </w:r>
          </w:p>
        </w:tc>
        <w:tc>
          <w:tcPr>
            <w:tcW w:w="1294" w:type="dxa"/>
          </w:tcPr>
          <w:p w14:paraId="132C8AA3" w14:textId="4249ED0C" w:rsidR="00E617F1" w:rsidRDefault="00E617F1" w:rsidP="00CB6072">
            <w:pPr>
              <w:pStyle w:val="ListParagraph"/>
              <w:ind w:left="0"/>
            </w:pPr>
            <w:r>
              <w:t>£279</w:t>
            </w:r>
          </w:p>
        </w:tc>
        <w:tc>
          <w:tcPr>
            <w:tcW w:w="1326" w:type="dxa"/>
          </w:tcPr>
          <w:p w14:paraId="2ECF3EF2" w14:textId="77777777" w:rsidR="00E617F1" w:rsidRDefault="00E617F1" w:rsidP="00CB6072">
            <w:pPr>
              <w:pStyle w:val="ListParagraph"/>
              <w:ind w:left="0"/>
            </w:pPr>
          </w:p>
        </w:tc>
        <w:tc>
          <w:tcPr>
            <w:tcW w:w="2770" w:type="dxa"/>
          </w:tcPr>
          <w:p w14:paraId="4249BF7E" w14:textId="77777777" w:rsidR="00E617F1" w:rsidRDefault="00E617F1" w:rsidP="00CB6072">
            <w:pPr>
              <w:pStyle w:val="ListParagraph"/>
              <w:ind w:left="0"/>
            </w:pPr>
          </w:p>
        </w:tc>
      </w:tr>
      <w:tr w:rsidR="00E617F1" w14:paraId="2B16CE6B" w14:textId="700D7F24" w:rsidTr="008C3781">
        <w:tc>
          <w:tcPr>
            <w:tcW w:w="1908" w:type="dxa"/>
          </w:tcPr>
          <w:p w14:paraId="27BA153C" w14:textId="6BFD7840" w:rsidR="00E617F1" w:rsidRDefault="00E617F1" w:rsidP="00CB6072">
            <w:pPr>
              <w:pStyle w:val="ListParagraph"/>
              <w:ind w:left="0"/>
            </w:pPr>
            <w:r>
              <w:t>Salaries</w:t>
            </w:r>
          </w:p>
        </w:tc>
        <w:tc>
          <w:tcPr>
            <w:tcW w:w="998" w:type="dxa"/>
          </w:tcPr>
          <w:p w14:paraId="28CD6CA6" w14:textId="089164F4" w:rsidR="00E617F1" w:rsidRDefault="00E617F1" w:rsidP="00CB6072">
            <w:pPr>
              <w:pStyle w:val="ListParagraph"/>
              <w:ind w:left="0"/>
            </w:pPr>
            <w:r>
              <w:t>£</w:t>
            </w:r>
            <w:r w:rsidR="00597319">
              <w:t>5</w:t>
            </w:r>
            <w:r w:rsidR="002970C3">
              <w:t>,</w:t>
            </w:r>
            <w:r w:rsidR="00597319">
              <w:t>619</w:t>
            </w:r>
          </w:p>
        </w:tc>
        <w:tc>
          <w:tcPr>
            <w:tcW w:w="1294" w:type="dxa"/>
          </w:tcPr>
          <w:p w14:paraId="6BCDEB94" w14:textId="235E5084" w:rsidR="00E617F1" w:rsidRDefault="00E617F1" w:rsidP="00CB6072">
            <w:pPr>
              <w:pStyle w:val="ListParagraph"/>
              <w:ind w:left="0"/>
            </w:pPr>
            <w:r>
              <w:t>£1</w:t>
            </w:r>
            <w:r w:rsidR="00AE6E81">
              <w:t>6</w:t>
            </w:r>
            <w:r w:rsidR="00061A59">
              <w:t>,</w:t>
            </w:r>
            <w:r w:rsidR="00AE6E81">
              <w:t>857</w:t>
            </w:r>
          </w:p>
        </w:tc>
        <w:tc>
          <w:tcPr>
            <w:tcW w:w="1326" w:type="dxa"/>
          </w:tcPr>
          <w:p w14:paraId="55D36D59" w14:textId="77777777" w:rsidR="00E617F1" w:rsidRDefault="00E617F1" w:rsidP="00CB6072">
            <w:pPr>
              <w:pStyle w:val="ListParagraph"/>
              <w:ind w:left="0"/>
            </w:pPr>
          </w:p>
        </w:tc>
        <w:tc>
          <w:tcPr>
            <w:tcW w:w="2770" w:type="dxa"/>
          </w:tcPr>
          <w:p w14:paraId="50D37CAA" w14:textId="77777777" w:rsidR="00E617F1" w:rsidRDefault="00E617F1" w:rsidP="00CB6072">
            <w:pPr>
              <w:pStyle w:val="ListParagraph"/>
              <w:ind w:left="0"/>
            </w:pPr>
          </w:p>
        </w:tc>
      </w:tr>
      <w:tr w:rsidR="00E617F1" w14:paraId="64297ED4" w14:textId="60EA9593" w:rsidTr="008C3781">
        <w:tc>
          <w:tcPr>
            <w:tcW w:w="1908" w:type="dxa"/>
          </w:tcPr>
          <w:p w14:paraId="6707C9C6" w14:textId="4126B380" w:rsidR="00E617F1" w:rsidRPr="00203E8E" w:rsidRDefault="00AE6E81" w:rsidP="00203E8E">
            <w:pPr>
              <w:pStyle w:val="ListParagraph"/>
              <w:ind w:left="0"/>
              <w:jc w:val="right"/>
              <w:rPr>
                <w:b/>
                <w:bCs/>
              </w:rPr>
            </w:pPr>
            <w:r w:rsidRPr="00203E8E">
              <w:rPr>
                <w:b/>
                <w:bCs/>
              </w:rPr>
              <w:t>Totals</w:t>
            </w:r>
          </w:p>
        </w:tc>
        <w:tc>
          <w:tcPr>
            <w:tcW w:w="998" w:type="dxa"/>
          </w:tcPr>
          <w:p w14:paraId="30D4B03C" w14:textId="07096833" w:rsidR="00E617F1" w:rsidRPr="00203E8E" w:rsidRDefault="00E617F1" w:rsidP="00CB6072">
            <w:pPr>
              <w:pStyle w:val="ListParagraph"/>
              <w:ind w:left="0"/>
              <w:rPr>
                <w:b/>
                <w:bCs/>
              </w:rPr>
            </w:pPr>
            <w:r w:rsidRPr="00203E8E">
              <w:rPr>
                <w:b/>
                <w:bCs/>
              </w:rPr>
              <w:t>£</w:t>
            </w:r>
            <w:r w:rsidR="00C65E32">
              <w:rPr>
                <w:b/>
                <w:bCs/>
              </w:rPr>
              <w:t>7,348</w:t>
            </w:r>
          </w:p>
        </w:tc>
        <w:tc>
          <w:tcPr>
            <w:tcW w:w="1294" w:type="dxa"/>
          </w:tcPr>
          <w:p w14:paraId="6A79B893" w14:textId="5E49A0FA" w:rsidR="00E617F1" w:rsidRPr="00203E8E" w:rsidRDefault="002970C3" w:rsidP="00CB6072">
            <w:pPr>
              <w:pStyle w:val="ListParagraph"/>
              <w:ind w:left="0"/>
              <w:rPr>
                <w:b/>
                <w:bCs/>
              </w:rPr>
            </w:pPr>
            <w:r w:rsidRPr="00203E8E">
              <w:rPr>
                <w:b/>
                <w:bCs/>
              </w:rPr>
              <w:t>£2</w:t>
            </w:r>
            <w:r w:rsidR="00C65E32">
              <w:rPr>
                <w:b/>
                <w:bCs/>
              </w:rPr>
              <w:t>2</w:t>
            </w:r>
            <w:r w:rsidRPr="00203E8E">
              <w:rPr>
                <w:b/>
                <w:bCs/>
              </w:rPr>
              <w:t>,</w:t>
            </w:r>
            <w:r w:rsidR="00C65E32">
              <w:rPr>
                <w:b/>
                <w:bCs/>
              </w:rPr>
              <w:t>0</w:t>
            </w:r>
            <w:r w:rsidRPr="00203E8E">
              <w:rPr>
                <w:b/>
                <w:bCs/>
              </w:rPr>
              <w:t>44</w:t>
            </w:r>
          </w:p>
        </w:tc>
        <w:tc>
          <w:tcPr>
            <w:tcW w:w="1326" w:type="dxa"/>
          </w:tcPr>
          <w:p w14:paraId="5AAAC3E1" w14:textId="0DF7B858" w:rsidR="00E617F1" w:rsidRPr="00203E8E" w:rsidRDefault="00187B4D" w:rsidP="00CB6072">
            <w:pPr>
              <w:pStyle w:val="ListParagraph"/>
              <w:ind w:left="0"/>
              <w:rPr>
                <w:b/>
                <w:bCs/>
              </w:rPr>
            </w:pPr>
            <w:r w:rsidRPr="00203E8E">
              <w:rPr>
                <w:b/>
                <w:bCs/>
              </w:rPr>
              <w:t>£</w:t>
            </w:r>
            <w:r w:rsidR="00817E80">
              <w:rPr>
                <w:b/>
                <w:bCs/>
              </w:rPr>
              <w:t>7,928</w:t>
            </w:r>
          </w:p>
        </w:tc>
        <w:tc>
          <w:tcPr>
            <w:tcW w:w="2770" w:type="dxa"/>
          </w:tcPr>
          <w:p w14:paraId="22792349" w14:textId="157CEE3B" w:rsidR="00E617F1" w:rsidRPr="00203E8E" w:rsidRDefault="00203E8E" w:rsidP="00CB6072">
            <w:pPr>
              <w:pStyle w:val="ListParagraph"/>
              <w:ind w:left="0"/>
              <w:rPr>
                <w:b/>
                <w:bCs/>
                <w:u w:val="single"/>
              </w:rPr>
            </w:pPr>
            <w:r w:rsidRPr="00203E8E">
              <w:rPr>
                <w:b/>
                <w:bCs/>
                <w:u w:val="single"/>
              </w:rPr>
              <w:t>£14,116</w:t>
            </w:r>
          </w:p>
        </w:tc>
      </w:tr>
    </w:tbl>
    <w:p w14:paraId="10E971B6" w14:textId="77777777" w:rsidR="008F33BC" w:rsidRDefault="008F33BC" w:rsidP="00CB6072">
      <w:pPr>
        <w:pStyle w:val="ListParagraph"/>
      </w:pPr>
    </w:p>
    <w:p w14:paraId="3C3E590A" w14:textId="77777777" w:rsidR="003239A5" w:rsidRDefault="003239A5" w:rsidP="00CB6072">
      <w:pPr>
        <w:pStyle w:val="ListParagraph"/>
      </w:pPr>
    </w:p>
    <w:p w14:paraId="5692ED1E" w14:textId="3901D74E" w:rsidR="00CB6072" w:rsidRDefault="00CB6072" w:rsidP="00CB6072">
      <w:pPr>
        <w:pStyle w:val="ListParagraph"/>
        <w:numPr>
          <w:ilvl w:val="0"/>
          <w:numId w:val="1"/>
        </w:numPr>
      </w:pPr>
      <w:r>
        <w:rPr>
          <w:b/>
        </w:rPr>
        <w:t>Sickness Cover</w:t>
      </w:r>
      <w:r>
        <w:t xml:space="preserve">: this would allow for temporary staff cover, principally if a member of staff was off sick for a prolonged period and their role could not be covered by active staff. The costs of this would need to meet the liabilities of sickness pay (3 months full pay 3 months half pay for 4+ years of service). At most, using the highest paid member of staff as a baseline, this would cost </w:t>
      </w:r>
      <w:r>
        <w:rPr>
          <w:b/>
        </w:rPr>
        <w:t>£</w:t>
      </w:r>
      <w:r w:rsidR="00AB4D05">
        <w:rPr>
          <w:b/>
        </w:rPr>
        <w:t>1,415</w:t>
      </w:r>
      <w:r w:rsidR="003A42AB">
        <w:rPr>
          <w:b/>
        </w:rPr>
        <w:t xml:space="preserve"> </w:t>
      </w:r>
      <w:r>
        <w:t>assuming there was cover provided from the first</w:t>
      </w:r>
      <w:r>
        <w:rPr>
          <w:b/>
        </w:rPr>
        <w:t xml:space="preserve"> </w:t>
      </w:r>
      <w:r>
        <w:t xml:space="preserve">day of sickness. </w:t>
      </w:r>
    </w:p>
    <w:p w14:paraId="5692ED1F" w14:textId="77777777" w:rsidR="00CB6072" w:rsidRDefault="00CB6072" w:rsidP="00CB6072">
      <w:pPr>
        <w:pStyle w:val="ListParagraph"/>
      </w:pPr>
    </w:p>
    <w:p w14:paraId="5692ED20" w14:textId="70CDE2DF" w:rsidR="00CB6072" w:rsidRDefault="004431A6" w:rsidP="00CB6072">
      <w:pPr>
        <w:pStyle w:val="ListParagraph"/>
        <w:numPr>
          <w:ilvl w:val="0"/>
          <w:numId w:val="1"/>
        </w:numPr>
      </w:pPr>
      <w:r>
        <w:t>Liability</w:t>
      </w:r>
      <w:r w:rsidR="00CB6072">
        <w:t xml:space="preserve"> Shopmobility Equipment, primarily Electric Scooters and Powered Wheelchairs could still be incurred </w:t>
      </w:r>
      <w:r w:rsidR="001214DD">
        <w:t xml:space="preserve">during the 3 month period </w:t>
      </w:r>
      <w:r w:rsidR="00CB6072">
        <w:t xml:space="preserve">as a result of breakdowns or damage in the interim. Loss through theft would be covered by the insurance. </w:t>
      </w:r>
      <w:r w:rsidR="000541D6">
        <w:t xml:space="preserve">There would be no need to </w:t>
      </w:r>
      <w:r w:rsidR="00B71DAC">
        <w:t>hold any reserves.</w:t>
      </w:r>
    </w:p>
    <w:p w14:paraId="5692ED21" w14:textId="77777777" w:rsidR="00CB6072" w:rsidRDefault="00CB6072" w:rsidP="00CB6072">
      <w:pPr>
        <w:pStyle w:val="ListParagraph"/>
      </w:pPr>
    </w:p>
    <w:p w14:paraId="5692ED22" w14:textId="77777777" w:rsidR="00CB6072" w:rsidRDefault="00CB6072" w:rsidP="00CB6072">
      <w:r>
        <w:t>Total reserves to be held to cover operational costs</w:t>
      </w:r>
    </w:p>
    <w:p w14:paraId="5692ED23" w14:textId="77777777" w:rsidR="00CB6072" w:rsidRDefault="00CB6072" w:rsidP="00CB6072"/>
    <w:p w14:paraId="4510568D" w14:textId="44390D0C" w:rsidR="009B2E06" w:rsidRDefault="00CB6072" w:rsidP="00CB6072">
      <w:pPr>
        <w:rPr>
          <w:b/>
          <w:u w:val="single"/>
        </w:rPr>
      </w:pPr>
      <w:r w:rsidRPr="00AF3CFC">
        <w:rPr>
          <w:b/>
          <w:u w:val="single"/>
        </w:rPr>
        <w:t>£</w:t>
      </w:r>
      <w:r w:rsidR="0032204F" w:rsidRPr="00AF3CFC">
        <w:rPr>
          <w:b/>
          <w:u w:val="single"/>
        </w:rPr>
        <w:t>1</w:t>
      </w:r>
      <w:r w:rsidR="001E50F2" w:rsidRPr="00AF3CFC">
        <w:rPr>
          <w:b/>
          <w:u w:val="single"/>
        </w:rPr>
        <w:t>5,531</w:t>
      </w:r>
    </w:p>
    <w:p w14:paraId="2D94DAAF" w14:textId="77777777" w:rsidR="00AF3CFC" w:rsidRDefault="00AF3CFC" w:rsidP="00CB6072">
      <w:pPr>
        <w:rPr>
          <w:b/>
          <w:u w:val="single"/>
        </w:rPr>
      </w:pPr>
    </w:p>
    <w:p w14:paraId="17AD1F4E" w14:textId="77777777" w:rsidR="00AF3CFC" w:rsidRPr="00AF3CFC" w:rsidRDefault="00AF3CFC" w:rsidP="00CB6072">
      <w:pPr>
        <w:rPr>
          <w:b/>
          <w:u w:val="single"/>
        </w:rPr>
      </w:pPr>
    </w:p>
    <w:p w14:paraId="5692ED25" w14:textId="77777777" w:rsidR="00CB6072" w:rsidRDefault="00CB6072" w:rsidP="00CB6072"/>
    <w:p w14:paraId="5692ED26" w14:textId="77777777" w:rsidR="00CB6072" w:rsidRDefault="00CB6072" w:rsidP="00CB6072">
      <w:pPr>
        <w:rPr>
          <w:b/>
        </w:rPr>
      </w:pPr>
      <w:r>
        <w:rPr>
          <w:b/>
        </w:rPr>
        <w:lastRenderedPageBreak/>
        <w:t>4.0</w:t>
      </w:r>
      <w:r>
        <w:rPr>
          <w:b/>
        </w:rPr>
        <w:tab/>
        <w:t>Total Reserves to be Held</w:t>
      </w:r>
    </w:p>
    <w:p w14:paraId="5692ED27" w14:textId="77777777" w:rsidR="00CB6072" w:rsidRDefault="00CB6072" w:rsidP="00CB6072"/>
    <w:p w14:paraId="5692ED28" w14:textId="77777777" w:rsidR="00CB6072" w:rsidRDefault="00CB6072" w:rsidP="00CB6072">
      <w:r>
        <w:t>Total reserves to be held to cover operational costs and redundancies</w:t>
      </w:r>
    </w:p>
    <w:p w14:paraId="5692ED29" w14:textId="77777777" w:rsidR="00CB6072" w:rsidRDefault="00CB6072" w:rsidP="00CB6072"/>
    <w:p w14:paraId="5692ED2A" w14:textId="74606074" w:rsidR="00CB6072" w:rsidRPr="00AF3CFC" w:rsidRDefault="00CB6072" w:rsidP="00CB6072">
      <w:pPr>
        <w:rPr>
          <w:b/>
          <w:u w:val="single"/>
        </w:rPr>
      </w:pPr>
      <w:r w:rsidRPr="00AF3CFC">
        <w:rPr>
          <w:b/>
          <w:u w:val="single"/>
        </w:rPr>
        <w:t>£</w:t>
      </w:r>
      <w:r w:rsidR="00015895" w:rsidRPr="00AF3CFC">
        <w:rPr>
          <w:b/>
          <w:u w:val="single"/>
        </w:rPr>
        <w:t>24,874.00</w:t>
      </w:r>
    </w:p>
    <w:p w14:paraId="39B51E83" w14:textId="77777777" w:rsidR="00015895" w:rsidRDefault="00015895" w:rsidP="00CB6072">
      <w:pPr>
        <w:rPr>
          <w:b/>
          <w:u w:val="single"/>
        </w:rPr>
      </w:pPr>
    </w:p>
    <w:p w14:paraId="6BB80454" w14:textId="628470E0" w:rsidR="00FC76D3" w:rsidRPr="00BB47FC" w:rsidRDefault="00FC76D3" w:rsidP="00FC76D3">
      <w:pPr>
        <w:spacing w:before="100" w:beforeAutospacing="1" w:after="100" w:afterAutospacing="1"/>
        <w:rPr>
          <w:rFonts w:cs="Calibri"/>
          <w:i/>
          <w:iCs/>
        </w:rPr>
      </w:pPr>
      <w:bookmarkStart w:id="0" w:name="_Hlk104463531"/>
      <w:r w:rsidRPr="00BB47FC">
        <w:rPr>
          <w:rFonts w:eastAsia="Times New Roman" w:cs="Calibri"/>
          <w:i/>
          <w:iCs/>
          <w:lang w:eastAsia="en-GB"/>
        </w:rPr>
        <w:t xml:space="preserve">Date of last Review </w:t>
      </w:r>
      <w:r w:rsidR="00AF3CFC">
        <w:rPr>
          <w:rFonts w:eastAsia="Times New Roman" w:cs="Calibri"/>
          <w:i/>
          <w:iCs/>
          <w:lang w:eastAsia="en-GB"/>
        </w:rPr>
        <w:t>October</w:t>
      </w:r>
      <w:r w:rsidRPr="00BB47FC">
        <w:rPr>
          <w:rFonts w:eastAsia="Times New Roman" w:cs="Calibri"/>
          <w:i/>
          <w:iCs/>
          <w:lang w:eastAsia="en-GB"/>
        </w:rPr>
        <w:t xml:space="preserve"> 202</w:t>
      </w:r>
      <w:r w:rsidR="00215C0D">
        <w:rPr>
          <w:rFonts w:eastAsia="Times New Roman" w:cs="Calibri"/>
          <w:i/>
          <w:iCs/>
          <w:lang w:eastAsia="en-GB"/>
        </w:rPr>
        <w:t>3</w:t>
      </w:r>
      <w:r w:rsidRPr="00BB47FC">
        <w:rPr>
          <w:rFonts w:eastAsia="Times New Roman" w:cs="Calibri"/>
          <w:i/>
          <w:iCs/>
          <w:lang w:eastAsia="en-GB"/>
        </w:rPr>
        <w:br/>
      </w:r>
      <w:bookmarkEnd w:id="0"/>
    </w:p>
    <w:p w14:paraId="5692ED2B" w14:textId="77777777" w:rsidR="00D3744E" w:rsidRDefault="00D3744E"/>
    <w:sectPr w:rsidR="00D374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13D6" w14:textId="77777777" w:rsidR="00C51274" w:rsidRDefault="00C51274" w:rsidP="0006551E">
      <w:r>
        <w:separator/>
      </w:r>
    </w:p>
  </w:endnote>
  <w:endnote w:type="continuationSeparator" w:id="0">
    <w:p w14:paraId="09F9262E" w14:textId="77777777" w:rsidR="00C51274" w:rsidRDefault="00C51274" w:rsidP="0006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4AE" w14:textId="060397AF" w:rsidR="0006551E" w:rsidRPr="00FB3BD9" w:rsidRDefault="00FB3BD9" w:rsidP="00FB3BD9">
    <w:pPr>
      <w:rPr>
        <w:rFonts w:cstheme="minorHAnsi"/>
        <w:i/>
        <w:szCs w:val="20"/>
      </w:rPr>
    </w:pPr>
    <w:r w:rsidRPr="0010218D">
      <w:rPr>
        <w:rFonts w:cstheme="minorHAnsi"/>
        <w:b/>
        <w:szCs w:val="20"/>
      </w:rPr>
      <w:t>sedcat</w:t>
    </w:r>
    <w:r w:rsidRPr="0010218D">
      <w:rPr>
        <w:rFonts w:cstheme="minorHAnsi"/>
        <w:i/>
        <w:szCs w:val="20"/>
      </w:rPr>
      <w:t xml:space="preserve"> (South-East Dorset Community Accessible Transport) Registered office Castlepoint Shopmobility, Castle Lane West, Bournemouth BH8 9XA. Registered Charity No 1146311 Registered in England and Wales No: 07800298</w:t>
    </w:r>
  </w:p>
  <w:p w14:paraId="1234424A" w14:textId="77777777" w:rsidR="0006551E" w:rsidRDefault="0006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E29B" w14:textId="77777777" w:rsidR="00C51274" w:rsidRDefault="00C51274" w:rsidP="0006551E">
      <w:r>
        <w:separator/>
      </w:r>
    </w:p>
  </w:footnote>
  <w:footnote w:type="continuationSeparator" w:id="0">
    <w:p w14:paraId="78179FF5" w14:textId="77777777" w:rsidR="00C51274" w:rsidRDefault="00C51274" w:rsidP="0006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2B9"/>
    <w:multiLevelType w:val="hybridMultilevel"/>
    <w:tmpl w:val="0958D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444AAA"/>
    <w:multiLevelType w:val="hybridMultilevel"/>
    <w:tmpl w:val="2CBA5E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C513EA8"/>
    <w:multiLevelType w:val="hybridMultilevel"/>
    <w:tmpl w:val="9FD07550"/>
    <w:lvl w:ilvl="0" w:tplc="B71A062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75289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035270">
    <w:abstractNumId w:val="2"/>
  </w:num>
  <w:num w:numId="3" w16cid:durableId="535048916">
    <w:abstractNumId w:val="0"/>
  </w:num>
  <w:num w:numId="4" w16cid:durableId="96589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72"/>
    <w:rsid w:val="0000167E"/>
    <w:rsid w:val="00015895"/>
    <w:rsid w:val="00040682"/>
    <w:rsid w:val="000541D6"/>
    <w:rsid w:val="00061A59"/>
    <w:rsid w:val="0006551E"/>
    <w:rsid w:val="00072062"/>
    <w:rsid w:val="00077F2B"/>
    <w:rsid w:val="00080130"/>
    <w:rsid w:val="0008209E"/>
    <w:rsid w:val="0008658E"/>
    <w:rsid w:val="00092BFC"/>
    <w:rsid w:val="00093104"/>
    <w:rsid w:val="000941F7"/>
    <w:rsid w:val="00097B62"/>
    <w:rsid w:val="000A0363"/>
    <w:rsid w:val="000D240B"/>
    <w:rsid w:val="000D5DCC"/>
    <w:rsid w:val="000E2C12"/>
    <w:rsid w:val="00110F36"/>
    <w:rsid w:val="001214DD"/>
    <w:rsid w:val="00140048"/>
    <w:rsid w:val="00142092"/>
    <w:rsid w:val="001514CD"/>
    <w:rsid w:val="00165823"/>
    <w:rsid w:val="00187B4D"/>
    <w:rsid w:val="001A3031"/>
    <w:rsid w:val="001B4D9C"/>
    <w:rsid w:val="001E38CA"/>
    <w:rsid w:val="001E50F2"/>
    <w:rsid w:val="001F6C47"/>
    <w:rsid w:val="00203E8E"/>
    <w:rsid w:val="00215C0D"/>
    <w:rsid w:val="00235215"/>
    <w:rsid w:val="00246F1F"/>
    <w:rsid w:val="00267919"/>
    <w:rsid w:val="002970C3"/>
    <w:rsid w:val="002A0BB6"/>
    <w:rsid w:val="002B1863"/>
    <w:rsid w:val="002B6493"/>
    <w:rsid w:val="002D460E"/>
    <w:rsid w:val="00302125"/>
    <w:rsid w:val="0032204F"/>
    <w:rsid w:val="00322CBE"/>
    <w:rsid w:val="003239A5"/>
    <w:rsid w:val="003249E4"/>
    <w:rsid w:val="003316F1"/>
    <w:rsid w:val="00343A63"/>
    <w:rsid w:val="003456FC"/>
    <w:rsid w:val="003831E5"/>
    <w:rsid w:val="00396AF7"/>
    <w:rsid w:val="003A0323"/>
    <w:rsid w:val="003A287C"/>
    <w:rsid w:val="003A42AB"/>
    <w:rsid w:val="003B1EAF"/>
    <w:rsid w:val="003F268A"/>
    <w:rsid w:val="004077F6"/>
    <w:rsid w:val="00421F1B"/>
    <w:rsid w:val="00435108"/>
    <w:rsid w:val="004431A6"/>
    <w:rsid w:val="004508AF"/>
    <w:rsid w:val="0047638A"/>
    <w:rsid w:val="0048007F"/>
    <w:rsid w:val="004A092D"/>
    <w:rsid w:val="004C66EC"/>
    <w:rsid w:val="004C6FFE"/>
    <w:rsid w:val="004C7997"/>
    <w:rsid w:val="004D2613"/>
    <w:rsid w:val="004E1F7A"/>
    <w:rsid w:val="004E2BC5"/>
    <w:rsid w:val="004E371A"/>
    <w:rsid w:val="004E50D5"/>
    <w:rsid w:val="004F1E1E"/>
    <w:rsid w:val="00502CB2"/>
    <w:rsid w:val="00503A81"/>
    <w:rsid w:val="00515165"/>
    <w:rsid w:val="005369A4"/>
    <w:rsid w:val="00545AA6"/>
    <w:rsid w:val="00550EDB"/>
    <w:rsid w:val="00554F60"/>
    <w:rsid w:val="00555706"/>
    <w:rsid w:val="00562A4C"/>
    <w:rsid w:val="005852F8"/>
    <w:rsid w:val="0059707A"/>
    <w:rsid w:val="00597319"/>
    <w:rsid w:val="005A51D5"/>
    <w:rsid w:val="005B5429"/>
    <w:rsid w:val="005E46CF"/>
    <w:rsid w:val="005F097B"/>
    <w:rsid w:val="00626CBD"/>
    <w:rsid w:val="00634E41"/>
    <w:rsid w:val="006414C1"/>
    <w:rsid w:val="00641953"/>
    <w:rsid w:val="00642A9F"/>
    <w:rsid w:val="00685308"/>
    <w:rsid w:val="006953DE"/>
    <w:rsid w:val="006A4092"/>
    <w:rsid w:val="006C361D"/>
    <w:rsid w:val="006D38B5"/>
    <w:rsid w:val="006F36D0"/>
    <w:rsid w:val="00741B9C"/>
    <w:rsid w:val="00766705"/>
    <w:rsid w:val="00777CE6"/>
    <w:rsid w:val="00802AFD"/>
    <w:rsid w:val="008036DA"/>
    <w:rsid w:val="00817E80"/>
    <w:rsid w:val="00823899"/>
    <w:rsid w:val="0082698B"/>
    <w:rsid w:val="008529A8"/>
    <w:rsid w:val="008538D0"/>
    <w:rsid w:val="00872448"/>
    <w:rsid w:val="00883EDF"/>
    <w:rsid w:val="008A683B"/>
    <w:rsid w:val="008C3781"/>
    <w:rsid w:val="008C5F02"/>
    <w:rsid w:val="008D24CD"/>
    <w:rsid w:val="008D69A2"/>
    <w:rsid w:val="008E150E"/>
    <w:rsid w:val="008E32DD"/>
    <w:rsid w:val="008F33BC"/>
    <w:rsid w:val="00916E53"/>
    <w:rsid w:val="00925FC1"/>
    <w:rsid w:val="009351C6"/>
    <w:rsid w:val="00945122"/>
    <w:rsid w:val="00964EF9"/>
    <w:rsid w:val="00981E5C"/>
    <w:rsid w:val="009B2E06"/>
    <w:rsid w:val="009C7257"/>
    <w:rsid w:val="009D27C9"/>
    <w:rsid w:val="009E56E8"/>
    <w:rsid w:val="00A06BBE"/>
    <w:rsid w:val="00A33C22"/>
    <w:rsid w:val="00A60236"/>
    <w:rsid w:val="00A71451"/>
    <w:rsid w:val="00A87136"/>
    <w:rsid w:val="00AA02F8"/>
    <w:rsid w:val="00AB4D05"/>
    <w:rsid w:val="00AC48C5"/>
    <w:rsid w:val="00AD344F"/>
    <w:rsid w:val="00AE50C2"/>
    <w:rsid w:val="00AE6E81"/>
    <w:rsid w:val="00AF3CFC"/>
    <w:rsid w:val="00AF607A"/>
    <w:rsid w:val="00B026BB"/>
    <w:rsid w:val="00B07C23"/>
    <w:rsid w:val="00B14F99"/>
    <w:rsid w:val="00B310C3"/>
    <w:rsid w:val="00B34ECD"/>
    <w:rsid w:val="00B469F1"/>
    <w:rsid w:val="00B71DAC"/>
    <w:rsid w:val="00B843A4"/>
    <w:rsid w:val="00B96F66"/>
    <w:rsid w:val="00BA699A"/>
    <w:rsid w:val="00BA7939"/>
    <w:rsid w:val="00BB47FC"/>
    <w:rsid w:val="00BB6813"/>
    <w:rsid w:val="00BC4531"/>
    <w:rsid w:val="00BD6B43"/>
    <w:rsid w:val="00C0352B"/>
    <w:rsid w:val="00C16926"/>
    <w:rsid w:val="00C2227C"/>
    <w:rsid w:val="00C35D66"/>
    <w:rsid w:val="00C51274"/>
    <w:rsid w:val="00C51724"/>
    <w:rsid w:val="00C65E32"/>
    <w:rsid w:val="00CB6072"/>
    <w:rsid w:val="00CC0F24"/>
    <w:rsid w:val="00CF33D3"/>
    <w:rsid w:val="00D34FEA"/>
    <w:rsid w:val="00D3560F"/>
    <w:rsid w:val="00D363E8"/>
    <w:rsid w:val="00D3744E"/>
    <w:rsid w:val="00D719FE"/>
    <w:rsid w:val="00D77B77"/>
    <w:rsid w:val="00D82741"/>
    <w:rsid w:val="00DA4089"/>
    <w:rsid w:val="00DC1D2B"/>
    <w:rsid w:val="00DC43E1"/>
    <w:rsid w:val="00DD33B4"/>
    <w:rsid w:val="00DE497C"/>
    <w:rsid w:val="00DF2A56"/>
    <w:rsid w:val="00E2704B"/>
    <w:rsid w:val="00E30D3C"/>
    <w:rsid w:val="00E33A0B"/>
    <w:rsid w:val="00E3756E"/>
    <w:rsid w:val="00E553A8"/>
    <w:rsid w:val="00E55E1D"/>
    <w:rsid w:val="00E617F1"/>
    <w:rsid w:val="00E64B41"/>
    <w:rsid w:val="00E66A7C"/>
    <w:rsid w:val="00E83FA9"/>
    <w:rsid w:val="00EA1855"/>
    <w:rsid w:val="00EB55BE"/>
    <w:rsid w:val="00EC4542"/>
    <w:rsid w:val="00ED1E6C"/>
    <w:rsid w:val="00EE1305"/>
    <w:rsid w:val="00F1283F"/>
    <w:rsid w:val="00F4410F"/>
    <w:rsid w:val="00F526C1"/>
    <w:rsid w:val="00F57399"/>
    <w:rsid w:val="00F71B80"/>
    <w:rsid w:val="00F72214"/>
    <w:rsid w:val="00FA66F9"/>
    <w:rsid w:val="00FB3BD9"/>
    <w:rsid w:val="00FC76D3"/>
    <w:rsid w:val="00FD561C"/>
    <w:rsid w:val="00FD69F2"/>
    <w:rsid w:val="00FF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ECD3"/>
  <w15:docId w15:val="{542B4E84-A638-45DA-AD9B-57C0B75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072"/>
    <w:pPr>
      <w:ind w:left="720"/>
    </w:pPr>
  </w:style>
  <w:style w:type="table" w:styleId="TableGrid">
    <w:name w:val="Table Grid"/>
    <w:basedOn w:val="TableNormal"/>
    <w:uiPriority w:val="59"/>
    <w:rsid w:val="00CB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51E"/>
    <w:pPr>
      <w:tabs>
        <w:tab w:val="center" w:pos="4513"/>
        <w:tab w:val="right" w:pos="9026"/>
      </w:tabs>
    </w:pPr>
  </w:style>
  <w:style w:type="character" w:customStyle="1" w:styleId="HeaderChar">
    <w:name w:val="Header Char"/>
    <w:basedOn w:val="DefaultParagraphFont"/>
    <w:link w:val="Header"/>
    <w:uiPriority w:val="99"/>
    <w:rsid w:val="0006551E"/>
  </w:style>
  <w:style w:type="paragraph" w:styleId="Footer">
    <w:name w:val="footer"/>
    <w:basedOn w:val="Normal"/>
    <w:link w:val="FooterChar"/>
    <w:uiPriority w:val="99"/>
    <w:unhideWhenUsed/>
    <w:rsid w:val="0006551E"/>
    <w:pPr>
      <w:tabs>
        <w:tab w:val="center" w:pos="4513"/>
        <w:tab w:val="right" w:pos="9026"/>
      </w:tabs>
    </w:pPr>
  </w:style>
  <w:style w:type="character" w:customStyle="1" w:styleId="FooterChar">
    <w:name w:val="Footer Char"/>
    <w:basedOn w:val="DefaultParagraphFont"/>
    <w:link w:val="Footer"/>
    <w:uiPriority w:val="99"/>
    <w:rsid w:val="0006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5D08-EE53-4E34-AB96-4738DE07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Manager | SEDCAT</cp:lastModifiedBy>
  <cp:revision>180</cp:revision>
  <dcterms:created xsi:type="dcterms:W3CDTF">2022-09-15T08:56:00Z</dcterms:created>
  <dcterms:modified xsi:type="dcterms:W3CDTF">2023-11-15T09:14:00Z</dcterms:modified>
</cp:coreProperties>
</file>